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sz w:val="32"/>
          <w:szCs w:val="32"/>
        </w:rPr>
      </w:pPr>
      <w:r>
        <w:rPr>
          <w:rFonts w:hint="eastAsia" w:ascii="仿宋_GB2312" w:eastAsia="仿宋_GB2312"/>
          <w:b/>
          <w:sz w:val="32"/>
          <w:szCs w:val="32"/>
        </w:rPr>
        <w:t>建设项目环境保护工作总结提纲：</w:t>
      </w:r>
    </w:p>
    <w:p>
      <w:pPr>
        <w:adjustRightInd w:val="0"/>
        <w:snapToGrid w:val="0"/>
        <w:spacing w:before="156" w:beforeLines="50" w:after="156" w:afterLines="50" w:line="336" w:lineRule="auto"/>
        <w:ind w:firstLine="482" w:firstLineChars="200"/>
        <w:rPr>
          <w:b/>
          <w:sz w:val="24"/>
        </w:rPr>
      </w:pPr>
      <w:r>
        <w:rPr>
          <w:rFonts w:hint="eastAsia"/>
          <w:b/>
          <w:sz w:val="24"/>
        </w:rPr>
        <w:t>一、项目基本情况</w:t>
      </w:r>
    </w:p>
    <w:tbl>
      <w:tblPr>
        <w:tblStyle w:val="11"/>
        <w:tblW w:w="93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420" w:type="dxa"/>
            <w:vAlign w:val="center"/>
          </w:tcPr>
          <w:p>
            <w:pPr>
              <w:ind w:right="25" w:rightChars="12"/>
              <w:jc w:val="center"/>
              <w:rPr>
                <w:kern w:val="0"/>
                <w:sz w:val="24"/>
              </w:rPr>
            </w:pPr>
            <w:r>
              <w:rPr>
                <w:rFonts w:hint="eastAsia"/>
                <w:kern w:val="0"/>
                <w:sz w:val="24"/>
              </w:rPr>
              <w:t>项目名称</w:t>
            </w:r>
          </w:p>
        </w:tc>
        <w:tc>
          <w:tcPr>
            <w:tcW w:w="5940" w:type="dxa"/>
            <w:vAlign w:val="center"/>
          </w:tcPr>
          <w:p>
            <w:pPr>
              <w:spacing w:line="360" w:lineRule="auto"/>
              <w:ind w:right="25" w:rightChars="12"/>
              <w:jc w:val="center"/>
              <w:rPr>
                <w:kern w:val="0"/>
                <w:sz w:val="24"/>
              </w:rPr>
            </w:pPr>
            <w:r>
              <w:rPr>
                <w:rFonts w:hint="eastAsia"/>
                <w:kern w:val="0"/>
                <w:sz w:val="24"/>
              </w:rPr>
              <w:t>浙江林炎集团有限公司年产600万只不锈钢保温杯生产线技改项目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20" w:type="dxa"/>
            <w:vAlign w:val="center"/>
          </w:tcPr>
          <w:p>
            <w:pPr>
              <w:ind w:right="25" w:rightChars="12"/>
              <w:jc w:val="center"/>
              <w:rPr>
                <w:kern w:val="0"/>
                <w:sz w:val="24"/>
              </w:rPr>
            </w:pPr>
            <w:r>
              <w:rPr>
                <w:rFonts w:hint="eastAsia"/>
                <w:kern w:val="0"/>
                <w:sz w:val="24"/>
              </w:rPr>
              <w:t>建设地点</w:t>
            </w:r>
          </w:p>
        </w:tc>
        <w:tc>
          <w:tcPr>
            <w:tcW w:w="5940" w:type="dxa"/>
            <w:vAlign w:val="center"/>
          </w:tcPr>
          <w:p>
            <w:pPr>
              <w:ind w:right="25" w:rightChars="12"/>
              <w:jc w:val="center"/>
              <w:rPr>
                <w:kern w:val="0"/>
                <w:sz w:val="24"/>
              </w:rPr>
            </w:pPr>
            <w:r>
              <w:rPr>
                <w:rFonts w:hint="eastAsia" w:hAnsi="宋体"/>
                <w:kern w:val="0"/>
                <w:sz w:val="24"/>
              </w:rPr>
              <w:t>永康经济开发区华夏路111号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20" w:type="dxa"/>
            <w:vAlign w:val="center"/>
          </w:tcPr>
          <w:p>
            <w:pPr>
              <w:ind w:right="25" w:rightChars="12"/>
              <w:jc w:val="center"/>
              <w:rPr>
                <w:kern w:val="0"/>
                <w:sz w:val="24"/>
              </w:rPr>
            </w:pPr>
            <w:r>
              <w:rPr>
                <w:rFonts w:hint="eastAsia"/>
                <w:kern w:val="0"/>
                <w:sz w:val="24"/>
              </w:rPr>
              <w:t>建设项目性质</w:t>
            </w:r>
          </w:p>
        </w:tc>
        <w:tc>
          <w:tcPr>
            <w:tcW w:w="5940" w:type="dxa"/>
            <w:vAlign w:val="center"/>
          </w:tcPr>
          <w:p>
            <w:pPr>
              <w:ind w:right="25" w:rightChars="12"/>
              <w:jc w:val="center"/>
              <w:rPr>
                <w:kern w:val="0"/>
                <w:sz w:val="24"/>
              </w:rPr>
            </w:pPr>
            <w:r>
              <w:rPr>
                <w:rFonts w:hint="eastAsia"/>
                <w:kern w:val="0"/>
                <w:sz w:val="24"/>
              </w:rPr>
              <w:t>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20" w:type="dxa"/>
            <w:vAlign w:val="center"/>
          </w:tcPr>
          <w:p>
            <w:pPr>
              <w:ind w:right="25" w:rightChars="12"/>
              <w:jc w:val="center"/>
              <w:rPr>
                <w:kern w:val="0"/>
                <w:sz w:val="24"/>
              </w:rPr>
            </w:pPr>
            <w:r>
              <w:rPr>
                <w:rFonts w:hint="eastAsia"/>
                <w:kern w:val="0"/>
                <w:sz w:val="24"/>
              </w:rPr>
              <w:t>项目实际总投资</w:t>
            </w:r>
          </w:p>
        </w:tc>
        <w:tc>
          <w:tcPr>
            <w:tcW w:w="5940" w:type="dxa"/>
            <w:vAlign w:val="center"/>
          </w:tcPr>
          <w:p>
            <w:pPr>
              <w:ind w:right="25" w:rightChars="12"/>
              <w:jc w:val="center"/>
              <w:rPr>
                <w:kern w:val="0"/>
                <w:sz w:val="24"/>
              </w:rPr>
            </w:pPr>
            <w:r>
              <w:rPr>
                <w:rFonts w:hint="eastAsia"/>
                <w:kern w:val="0"/>
                <w:sz w:val="24"/>
              </w:rPr>
              <w:t>513万元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20" w:type="dxa"/>
            <w:vAlign w:val="center"/>
          </w:tcPr>
          <w:p>
            <w:pPr>
              <w:ind w:right="25" w:rightChars="12"/>
              <w:jc w:val="center"/>
              <w:rPr>
                <w:kern w:val="0"/>
                <w:sz w:val="24"/>
              </w:rPr>
            </w:pPr>
            <w:r>
              <w:rPr>
                <w:rFonts w:hint="eastAsia"/>
                <w:kern w:val="0"/>
                <w:sz w:val="24"/>
              </w:rPr>
              <w:t>项目环保实际投资</w:t>
            </w:r>
          </w:p>
        </w:tc>
        <w:tc>
          <w:tcPr>
            <w:tcW w:w="5940" w:type="dxa"/>
            <w:vAlign w:val="center"/>
          </w:tcPr>
          <w:p>
            <w:pPr>
              <w:ind w:right="25" w:rightChars="12"/>
              <w:jc w:val="center"/>
              <w:rPr>
                <w:kern w:val="0"/>
                <w:sz w:val="24"/>
              </w:rPr>
            </w:pPr>
            <w:r>
              <w:rPr>
                <w:kern w:val="0"/>
                <w:sz w:val="24"/>
              </w:rPr>
              <w:t>1</w:t>
            </w:r>
            <w:r>
              <w:rPr>
                <w:rFonts w:hint="eastAsia"/>
                <w:kern w:val="0"/>
                <w:sz w:val="24"/>
                <w:lang w:val="en-US" w:eastAsia="zh-CN"/>
              </w:rPr>
              <w:t>1</w:t>
            </w:r>
            <w:r>
              <w:rPr>
                <w:kern w:val="0"/>
                <w:sz w:val="24"/>
              </w:rPr>
              <w:t>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20" w:type="dxa"/>
            <w:vAlign w:val="center"/>
          </w:tcPr>
          <w:p>
            <w:pPr>
              <w:ind w:right="25" w:rightChars="12"/>
              <w:jc w:val="center"/>
              <w:rPr>
                <w:kern w:val="0"/>
                <w:sz w:val="24"/>
              </w:rPr>
            </w:pPr>
            <w:r>
              <w:rPr>
                <w:rFonts w:hint="eastAsia"/>
                <w:kern w:val="0"/>
                <w:sz w:val="24"/>
              </w:rPr>
              <w:t>项目开工建设日期</w:t>
            </w:r>
          </w:p>
        </w:tc>
        <w:tc>
          <w:tcPr>
            <w:tcW w:w="5940" w:type="dxa"/>
            <w:vAlign w:val="center"/>
          </w:tcPr>
          <w:p>
            <w:pPr>
              <w:ind w:right="25" w:rightChars="12"/>
              <w:jc w:val="center"/>
              <w:rPr>
                <w:kern w:val="0"/>
                <w:sz w:val="24"/>
              </w:rPr>
            </w:pPr>
            <w:r>
              <w:rPr>
                <w:kern w:val="0"/>
                <w:sz w:val="24"/>
              </w:rPr>
              <w:t>201</w:t>
            </w:r>
            <w:r>
              <w:rPr>
                <w:rFonts w:hint="eastAsia"/>
                <w:kern w:val="0"/>
                <w:sz w:val="24"/>
              </w:rPr>
              <w:t>6</w:t>
            </w:r>
            <w:r>
              <w:rPr>
                <w:rFonts w:hAnsi="宋体"/>
                <w:kern w:val="0"/>
                <w:sz w:val="24"/>
              </w:rPr>
              <w:t>年</w:t>
            </w:r>
            <w:r>
              <w:rPr>
                <w:rFonts w:hint="eastAsia"/>
                <w:kern w:val="0"/>
                <w:sz w:val="24"/>
                <w:lang w:val="en-US" w:eastAsia="zh-CN"/>
              </w:rPr>
              <w:t>12</w:t>
            </w:r>
            <w:r>
              <w:rPr>
                <w:rFonts w:hAnsi="宋体"/>
                <w:kern w:val="0"/>
                <w:sz w:val="24"/>
              </w:rPr>
              <w:t>月</w:t>
            </w:r>
          </w:p>
        </w:tc>
      </w:tr>
    </w:tbl>
    <w:p>
      <w:pPr>
        <w:spacing w:line="360" w:lineRule="auto"/>
        <w:ind w:firstLine="480" w:firstLineChars="200"/>
        <w:rPr>
          <w:sz w:val="24"/>
        </w:rPr>
      </w:pPr>
      <w:r>
        <w:rPr>
          <w:rFonts w:hint="eastAsia" w:hAnsi="宋体"/>
          <w:sz w:val="24"/>
        </w:rPr>
        <w:t>浙江林炎集团有限公司成立于1995年5月，现位于永康经济开发区华夏路111号，是一家专业从事不锈钢保温杯的生产和销售的企业，其《浙江林炎集团有限公司厂房建设项目环境影响报告表》已于2005年12月通过环保审批（永环字【2005】168号）。由于发展需要，企业于2015年6月对厂区现有生产进行技改，技改完成后拥有年产600万只不锈钢保温杯的生产能力。企业于2016年11月30日就《浙江林炎集团有限公司年产600万只不锈钢保温杯生产线技改项目环境影响报告书》项目通过环保审批，审批文号为永环行批【2016】79号。</w:t>
      </w:r>
    </w:p>
    <w:p>
      <w:pPr>
        <w:adjustRightInd w:val="0"/>
        <w:snapToGrid w:val="0"/>
        <w:spacing w:before="156" w:beforeLines="50" w:line="360" w:lineRule="auto"/>
        <w:ind w:firstLine="482" w:firstLineChars="200"/>
        <w:rPr>
          <w:sz w:val="24"/>
        </w:rPr>
      </w:pPr>
      <w:r>
        <w:rPr>
          <w:rFonts w:hint="eastAsia"/>
          <w:b/>
          <w:sz w:val="24"/>
        </w:rPr>
        <w:t>二、项目工艺流程及污染物排放</w:t>
      </w:r>
    </w:p>
    <w:p>
      <w:pPr>
        <w:adjustRightInd w:val="0"/>
        <w:snapToGrid w:val="0"/>
        <w:spacing w:line="360" w:lineRule="auto"/>
        <w:ind w:firstLine="480" w:firstLineChars="200"/>
        <w:rPr>
          <w:sz w:val="24"/>
        </w:rPr>
      </w:pPr>
      <w:r>
        <w:rPr>
          <w:rFonts w:hint="eastAsia"/>
          <w:sz w:val="24"/>
        </w:rPr>
        <w:t>目前项目已整体竣工并投入试运行，主要生产不锈钢保温杯，设计年产600万只。主要原辅料为：不锈钢管、塑料配件、杯盖等 。工艺流程及产污环节见图1-1：</w:t>
      </w:r>
    </w:p>
    <w:p>
      <w:pPr>
        <w:adjustRightInd w:val="0"/>
        <w:snapToGrid w:val="0"/>
        <w:spacing w:line="360" w:lineRule="auto"/>
        <w:ind w:firstLine="420" w:firstLineChars="200"/>
        <w:jc w:val="center"/>
      </w:pPr>
      <w:r>
        <w:object>
          <v:shape id="_x0000_i1025" o:spt="75" type="#_x0000_t75" style="height:350.25pt;width:425.2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r>
        <w:rPr>
          <w:b/>
          <w:bCs/>
          <w:szCs w:val="21"/>
        </w:rPr>
        <w:t>图</w:t>
      </w:r>
      <w:r>
        <w:rPr>
          <w:rFonts w:hint="eastAsia"/>
          <w:b/>
          <w:bCs/>
          <w:szCs w:val="21"/>
        </w:rPr>
        <w:t>1-</w:t>
      </w:r>
      <w:r>
        <w:rPr>
          <w:b/>
          <w:bCs/>
          <w:szCs w:val="21"/>
        </w:rPr>
        <w:t xml:space="preserve">1  </w:t>
      </w:r>
      <w:r>
        <w:rPr>
          <w:rFonts w:hint="eastAsia"/>
          <w:b/>
          <w:bCs/>
          <w:szCs w:val="21"/>
        </w:rPr>
        <w:t>项目</w:t>
      </w:r>
      <w:r>
        <w:rPr>
          <w:b/>
          <w:bCs/>
          <w:szCs w:val="21"/>
        </w:rPr>
        <w:t>生产工艺流程及产污环节图</w:t>
      </w:r>
    </w:p>
    <w:p>
      <w:pPr>
        <w:spacing w:line="360" w:lineRule="auto"/>
        <w:ind w:firstLine="480" w:firstLineChars="200"/>
        <w:rPr>
          <w:sz w:val="24"/>
        </w:rPr>
      </w:pPr>
      <w:r>
        <w:rPr>
          <w:sz w:val="24"/>
        </w:rPr>
        <w:t>主要污染物产生及排放情况</w:t>
      </w:r>
      <w:r>
        <w:rPr>
          <w:rFonts w:hint="eastAsia"/>
          <w:sz w:val="24"/>
        </w:rPr>
        <w:t>：</w:t>
      </w:r>
    </w:p>
    <w:p>
      <w:pPr>
        <w:pStyle w:val="3"/>
        <w:spacing w:after="0" w:line="360" w:lineRule="auto"/>
      </w:pPr>
      <w:r>
        <w:rPr>
          <w:b/>
          <w:bCs/>
        </w:rPr>
        <w:t>废水</w:t>
      </w:r>
      <w:r>
        <w:t>：</w:t>
      </w:r>
    </w:p>
    <w:p>
      <w:pPr>
        <w:spacing w:line="360" w:lineRule="auto"/>
        <w:ind w:firstLine="480" w:firstLineChars="200"/>
        <w:rPr>
          <w:sz w:val="24"/>
        </w:rPr>
      </w:pPr>
      <w:r>
        <w:rPr>
          <w:sz w:val="24"/>
        </w:rPr>
        <w:t>根据工程分析，保温杯外壳和内胆均需进行脱脂清洗处理，脱脂清洗废水与除漆雾废水经厂内污水处理设施处理</w:t>
      </w:r>
      <w:r>
        <w:rPr>
          <w:rFonts w:hint="eastAsia"/>
          <w:sz w:val="24"/>
        </w:rPr>
        <w:t>；</w:t>
      </w:r>
      <w:r>
        <w:rPr>
          <w:sz w:val="24"/>
        </w:rPr>
        <w:t>生活污水经厂内生活污水处理设施处理达标后与经过厂内污水处理站处理达标后的生产废水一起排入市政污水管网，经永康市城市污水处理厂最终排入永康江，排放的废水执行《污水综合排放标准》（GB8978-1996）中三级标准。</w:t>
      </w:r>
    </w:p>
    <w:p>
      <w:pPr>
        <w:spacing w:line="360" w:lineRule="auto"/>
        <w:ind w:firstLine="480" w:firstLineChars="200"/>
        <w:jc w:val="left"/>
        <w:rPr>
          <w:sz w:val="24"/>
        </w:rPr>
      </w:pPr>
      <w:r>
        <w:rPr>
          <w:sz w:val="24"/>
        </w:rPr>
        <w:t>废水处理工艺流程见图</w:t>
      </w:r>
      <w:r>
        <w:rPr>
          <w:rFonts w:hint="eastAsia"/>
          <w:sz w:val="24"/>
        </w:rPr>
        <w:t>1</w:t>
      </w:r>
      <w:r>
        <w:rPr>
          <w:sz w:val="24"/>
        </w:rPr>
        <w:t>-</w:t>
      </w:r>
      <w:r>
        <w:rPr>
          <w:rFonts w:hint="eastAsia"/>
          <w:sz w:val="24"/>
        </w:rPr>
        <w:t>2</w:t>
      </w:r>
      <w:r>
        <w:rPr>
          <w:sz w:val="24"/>
        </w:rPr>
        <w:t>：</w:t>
      </w:r>
    </w:p>
    <w:p>
      <w:pPr>
        <w:spacing w:line="360" w:lineRule="auto"/>
      </w:pPr>
    </w:p>
    <w:p>
      <w:pPr>
        <w:spacing w:line="360" w:lineRule="auto"/>
      </w:pPr>
      <w:r>
        <w:object>
          <v:shape id="_x0000_i1026" o:spt="75" type="#_x0000_t75" style="height:75pt;width:441pt;" o:ole="t" filled="f" o:preferrelative="t" stroked="f" coordsize="21600,21600">
            <v:path/>
            <v:fill on="f" focussize="0,0"/>
            <v:stroke on="f" joinstyle="miter"/>
            <v:imagedata r:id="rId7" o:title=""/>
            <o:lock v:ext="edit" aspectratio="t"/>
            <w10:wrap type="none"/>
            <w10:anchorlock/>
          </v:shape>
          <o:OLEObject Type="Embed" ProgID="Visio.Drawing.11" ShapeID="_x0000_i1026" DrawAspect="Content" ObjectID="_1468075726" r:id="rId6">
            <o:LockedField>false</o:LockedField>
          </o:OLEObject>
        </w:object>
      </w:r>
    </w:p>
    <w:p>
      <w:pPr>
        <w:spacing w:line="360" w:lineRule="auto"/>
        <w:ind w:firstLine="420" w:firstLineChars="200"/>
        <w:jc w:val="center"/>
        <w:rPr>
          <w:sz w:val="24"/>
        </w:rPr>
      </w:pPr>
      <w:r>
        <w:rPr>
          <w:szCs w:val="21"/>
        </w:rPr>
        <w:t>图</w:t>
      </w:r>
      <w:r>
        <w:rPr>
          <w:rFonts w:hint="eastAsia"/>
          <w:szCs w:val="21"/>
        </w:rPr>
        <w:t>1</w:t>
      </w:r>
      <w:r>
        <w:rPr>
          <w:szCs w:val="21"/>
        </w:rPr>
        <w:t>-</w:t>
      </w:r>
      <w:r>
        <w:rPr>
          <w:rFonts w:hint="eastAsia"/>
          <w:szCs w:val="21"/>
        </w:rPr>
        <w:t>2</w:t>
      </w:r>
      <w:r>
        <w:rPr>
          <w:szCs w:val="21"/>
        </w:rPr>
        <w:t xml:space="preserve"> 废水处理工艺流程</w:t>
      </w:r>
    </w:p>
    <w:p>
      <w:pPr>
        <w:spacing w:line="360" w:lineRule="auto"/>
        <w:ind w:firstLine="482" w:firstLineChars="200"/>
        <w:rPr>
          <w:sz w:val="24"/>
        </w:rPr>
      </w:pPr>
      <w:r>
        <w:rPr>
          <w:b/>
          <w:bCs/>
          <w:sz w:val="24"/>
        </w:rPr>
        <w:t>废气</w:t>
      </w:r>
      <w:r>
        <w:rPr>
          <w:sz w:val="24"/>
        </w:rPr>
        <w:t>：</w:t>
      </w:r>
    </w:p>
    <w:p>
      <w:pPr>
        <w:numPr>
          <w:ilvl w:val="0"/>
          <w:numId w:val="1"/>
        </w:numPr>
        <w:adjustRightInd w:val="0"/>
        <w:snapToGrid w:val="0"/>
        <w:spacing w:line="360" w:lineRule="auto"/>
        <w:ind w:firstLine="480" w:firstLineChars="200"/>
        <w:jc w:val="left"/>
        <w:rPr>
          <w:sz w:val="24"/>
        </w:rPr>
      </w:pPr>
      <w:r>
        <w:rPr>
          <w:sz w:val="24"/>
        </w:rPr>
        <w:t>有组织废气</w:t>
      </w:r>
    </w:p>
    <w:p>
      <w:pPr>
        <w:spacing w:line="360" w:lineRule="auto"/>
        <w:ind w:firstLine="480" w:firstLineChars="200"/>
        <w:jc w:val="left"/>
        <w:rPr>
          <w:rFonts w:hint="eastAsia"/>
          <w:sz w:val="24"/>
        </w:rPr>
      </w:pPr>
      <w:r>
        <w:rPr>
          <w:rFonts w:hint="eastAsia"/>
          <w:sz w:val="24"/>
        </w:rPr>
        <w:t>项目有组织废气主要有抛光废气、喷漆废气、烘干废气、喷塑废气，各</w:t>
      </w:r>
      <w:r>
        <w:rPr>
          <w:sz w:val="24"/>
        </w:rPr>
        <w:t>废气处理工艺流程见图</w:t>
      </w:r>
      <w:r>
        <w:rPr>
          <w:rFonts w:hint="eastAsia"/>
          <w:sz w:val="24"/>
        </w:rPr>
        <w:t>1</w:t>
      </w:r>
      <w:r>
        <w:rPr>
          <w:sz w:val="24"/>
        </w:rPr>
        <w:t>-</w:t>
      </w:r>
      <w:r>
        <w:rPr>
          <w:rFonts w:hint="eastAsia"/>
          <w:sz w:val="24"/>
        </w:rPr>
        <w:t>3。</w:t>
      </w:r>
    </w:p>
    <w:p>
      <w:pPr>
        <w:numPr>
          <w:ilvl w:val="0"/>
          <w:numId w:val="2"/>
        </w:numPr>
        <w:adjustRightInd w:val="0"/>
        <w:snapToGrid w:val="0"/>
        <w:spacing w:line="360" w:lineRule="auto"/>
        <w:ind w:firstLine="480" w:firstLineChars="200"/>
        <w:jc w:val="left"/>
        <w:rPr>
          <w:sz w:val="24"/>
        </w:rPr>
      </w:pPr>
      <w:r>
        <w:rPr>
          <w:rFonts w:hint="eastAsia"/>
          <w:sz w:val="24"/>
        </w:rPr>
        <w:t>抛光废气：</w:t>
      </w:r>
      <w:r>
        <w:rPr>
          <w:sz w:val="24"/>
        </w:rPr>
        <w:t>项目在各抛光机工位设有集尘装置，将粉尘集中收集后经水喷淋除尘处理后引至17m排气筒高空排放。</w:t>
      </w:r>
    </w:p>
    <w:p>
      <w:pPr>
        <w:numPr>
          <w:ilvl w:val="0"/>
          <w:numId w:val="2"/>
        </w:numPr>
        <w:adjustRightInd w:val="0"/>
        <w:snapToGrid w:val="0"/>
        <w:spacing w:line="360" w:lineRule="auto"/>
        <w:ind w:firstLine="480" w:firstLineChars="200"/>
        <w:jc w:val="left"/>
        <w:rPr>
          <w:sz w:val="24"/>
        </w:rPr>
      </w:pPr>
      <w:r>
        <w:rPr>
          <w:rFonts w:hint="eastAsia"/>
          <w:sz w:val="24"/>
        </w:rPr>
        <w:t>喷漆废气：</w:t>
      </w:r>
      <w:r>
        <w:rPr>
          <w:sz w:val="24"/>
        </w:rPr>
        <w:t>项目采用水帘式喷漆工艺，喷漆、调漆废气经水喷淋+除湿+活性炭吸附装置处理后由1</w:t>
      </w:r>
      <w:r>
        <w:rPr>
          <w:rFonts w:hint="eastAsia"/>
          <w:sz w:val="24"/>
        </w:rPr>
        <w:t>7</w:t>
      </w:r>
      <w:r>
        <w:rPr>
          <w:sz w:val="24"/>
        </w:rPr>
        <w:t>m排气筒高空排放。</w:t>
      </w:r>
    </w:p>
    <w:p>
      <w:pPr>
        <w:numPr>
          <w:ilvl w:val="0"/>
          <w:numId w:val="2"/>
        </w:numPr>
        <w:adjustRightInd w:val="0"/>
        <w:snapToGrid w:val="0"/>
        <w:spacing w:line="360" w:lineRule="auto"/>
        <w:ind w:firstLine="480" w:firstLineChars="200"/>
        <w:jc w:val="left"/>
        <w:rPr>
          <w:sz w:val="24"/>
        </w:rPr>
      </w:pPr>
      <w:r>
        <w:rPr>
          <w:rFonts w:hint="eastAsia"/>
          <w:sz w:val="24"/>
        </w:rPr>
        <w:t>烘干、丝印和燃烧废气等：</w:t>
      </w:r>
      <w:r>
        <w:rPr>
          <w:sz w:val="24"/>
        </w:rPr>
        <w:t>项目天然气燃烧烟气、丝印及丝印烘干废气与流平、烘干废气一起经水喷淋+除湿+UV光解+高活化生物净化装置处理后由17米排气筒高空排放。</w:t>
      </w:r>
    </w:p>
    <w:p>
      <w:pPr>
        <w:numPr>
          <w:ilvl w:val="0"/>
          <w:numId w:val="2"/>
        </w:numPr>
        <w:adjustRightInd w:val="0"/>
        <w:snapToGrid w:val="0"/>
        <w:spacing w:line="360" w:lineRule="auto"/>
        <w:ind w:firstLine="480" w:firstLineChars="200"/>
        <w:jc w:val="left"/>
        <w:rPr>
          <w:sz w:val="24"/>
        </w:rPr>
      </w:pPr>
      <w:r>
        <w:rPr>
          <w:rFonts w:hint="eastAsia"/>
          <w:sz w:val="24"/>
        </w:rPr>
        <w:t>喷塑废气：</w:t>
      </w:r>
      <w:r>
        <w:rPr>
          <w:sz w:val="24"/>
        </w:rPr>
        <w:t>项目喷塑产生的粉尘经滤芯+布袋除尘装置处理后引至17米高空排放。</w:t>
      </w:r>
    </w:p>
    <w:p>
      <w:pPr>
        <w:adjustRightInd w:val="0"/>
        <w:snapToGrid w:val="0"/>
        <w:spacing w:line="360" w:lineRule="auto"/>
        <w:ind w:firstLine="480" w:firstLineChars="200"/>
        <w:jc w:val="left"/>
        <w:rPr>
          <w:sz w:val="24"/>
        </w:rPr>
      </w:pPr>
      <w:r>
        <w:rPr>
          <w:sz w:val="24"/>
        </w:rPr>
        <w:t>（2）无组织废气</w:t>
      </w:r>
    </w:p>
    <w:p>
      <w:pPr>
        <w:spacing w:line="360" w:lineRule="auto"/>
        <w:ind w:firstLine="480" w:firstLineChars="200"/>
        <w:jc w:val="left"/>
        <w:rPr>
          <w:sz w:val="24"/>
        </w:rPr>
      </w:pPr>
      <w:r>
        <w:rPr>
          <w:sz w:val="24"/>
        </w:rPr>
        <w:t>无组织</w:t>
      </w:r>
      <w:r>
        <w:rPr>
          <w:rFonts w:hint="eastAsia"/>
          <w:sz w:val="24"/>
        </w:rPr>
        <w:t>废气主要为</w:t>
      </w:r>
      <w:r>
        <w:rPr>
          <w:sz w:val="24"/>
        </w:rPr>
        <w:t>焊接烟气</w:t>
      </w:r>
      <w:r>
        <w:rPr>
          <w:rFonts w:hint="eastAsia"/>
          <w:sz w:val="24"/>
        </w:rPr>
        <w:t>，无相应收集处理设施，车间内排放，通过加强车间通风降低其影响</w:t>
      </w:r>
      <w:r>
        <w:rPr>
          <w:sz w:val="24"/>
        </w:rPr>
        <w:t>。</w:t>
      </w:r>
    </w:p>
    <w:p>
      <w:pPr>
        <w:adjustRightInd w:val="0"/>
        <w:snapToGrid w:val="0"/>
        <w:spacing w:line="360" w:lineRule="auto"/>
        <w:jc w:val="center"/>
        <w:rPr>
          <w:sz w:val="24"/>
        </w:rPr>
      </w:pPr>
      <w:r>
        <w:object>
          <v:shape id="_x0000_i1027" o:spt="75" type="#_x0000_t75" style="height:180.75pt;width:441pt;" o:ole="t" filled="f" o:preferrelative="t" stroked="f" coordsize="21600,21600">
            <v:path/>
            <v:fill on="f" focussize="0,0"/>
            <v:stroke on="f" joinstyle="miter"/>
            <v:imagedata r:id="rId9" o:title=""/>
            <o:lock v:ext="edit" aspectratio="t"/>
            <w10:wrap type="none"/>
            <w10:anchorlock/>
          </v:shape>
          <o:OLEObject Type="Embed" ProgID="Visio.Drawing.11" ShapeID="_x0000_i1027" DrawAspect="Content" ObjectID="_1468075727" r:id="rId8">
            <o:LockedField>false</o:LockedField>
          </o:OLEObject>
        </w:object>
      </w:r>
      <w:r>
        <w:rPr>
          <w:szCs w:val="21"/>
        </w:rPr>
        <w:t>图</w:t>
      </w:r>
      <w:r>
        <w:rPr>
          <w:rFonts w:hint="eastAsia"/>
          <w:szCs w:val="21"/>
        </w:rPr>
        <w:t>1</w:t>
      </w:r>
      <w:r>
        <w:rPr>
          <w:szCs w:val="21"/>
        </w:rPr>
        <w:t>-</w:t>
      </w:r>
      <w:r>
        <w:rPr>
          <w:rFonts w:hint="eastAsia"/>
          <w:szCs w:val="21"/>
        </w:rPr>
        <w:t>3</w:t>
      </w:r>
      <w:r>
        <w:rPr>
          <w:szCs w:val="21"/>
        </w:rPr>
        <w:t xml:space="preserve"> 废气处理工艺流程</w:t>
      </w:r>
    </w:p>
    <w:p>
      <w:pPr>
        <w:adjustRightInd w:val="0"/>
        <w:snapToGrid w:val="0"/>
        <w:spacing w:line="336" w:lineRule="auto"/>
        <w:ind w:firstLine="482" w:firstLineChars="200"/>
        <w:rPr>
          <w:sz w:val="24"/>
        </w:rPr>
      </w:pPr>
      <w:r>
        <w:rPr>
          <w:b/>
          <w:bCs/>
          <w:sz w:val="24"/>
        </w:rPr>
        <w:t>噪声</w:t>
      </w:r>
      <w:r>
        <w:rPr>
          <w:sz w:val="24"/>
        </w:rPr>
        <w:t>：</w:t>
      </w:r>
    </w:p>
    <w:p>
      <w:pPr>
        <w:spacing w:line="360" w:lineRule="auto"/>
        <w:ind w:firstLine="480" w:firstLineChars="200"/>
        <w:rPr>
          <w:sz w:val="24"/>
        </w:rPr>
      </w:pPr>
      <w:r>
        <w:rPr>
          <w:sz w:val="24"/>
        </w:rPr>
        <w:t>项目噪声主要由冲床、液压机、抛光机、空压机等机器设备运行时产生，通过厂房来进行隔声处理，减少对周边环境的影响。</w:t>
      </w:r>
    </w:p>
    <w:p>
      <w:pPr>
        <w:spacing w:line="360" w:lineRule="auto"/>
        <w:ind w:firstLine="482" w:firstLineChars="200"/>
        <w:rPr>
          <w:sz w:val="24"/>
        </w:rPr>
      </w:pPr>
      <w:r>
        <w:rPr>
          <w:b/>
          <w:bCs/>
          <w:sz w:val="24"/>
        </w:rPr>
        <w:t>固废</w:t>
      </w:r>
      <w:r>
        <w:rPr>
          <w:sz w:val="24"/>
        </w:rPr>
        <w:t>：</w:t>
      </w:r>
    </w:p>
    <w:p>
      <w:pPr>
        <w:adjustRightInd w:val="0"/>
        <w:snapToGrid w:val="0"/>
        <w:spacing w:line="336" w:lineRule="auto"/>
        <w:ind w:firstLine="480" w:firstLineChars="200"/>
        <w:rPr>
          <w:sz w:val="24"/>
        </w:rPr>
      </w:pPr>
      <w:r>
        <w:rPr>
          <w:sz w:val="24"/>
        </w:rPr>
        <w:t>本项目固废主要为</w:t>
      </w:r>
      <w:r>
        <w:rPr>
          <w:rFonts w:hint="eastAsia"/>
          <w:sz w:val="24"/>
        </w:rPr>
        <w:t>一般固废、危险废物和生活垃圾</w:t>
      </w:r>
      <w:r>
        <w:rPr>
          <w:sz w:val="24"/>
        </w:rPr>
        <w:t>。</w:t>
      </w:r>
    </w:p>
    <w:p>
      <w:pPr>
        <w:adjustRightInd w:val="0"/>
        <w:snapToGrid w:val="0"/>
        <w:spacing w:line="336" w:lineRule="auto"/>
        <w:ind w:firstLine="482" w:firstLineChars="200"/>
        <w:rPr>
          <w:sz w:val="24"/>
        </w:rPr>
      </w:pPr>
      <w:r>
        <w:rPr>
          <w:rFonts w:hint="eastAsia"/>
          <w:b/>
          <w:bCs/>
          <w:sz w:val="24"/>
        </w:rPr>
        <w:t>一般固废</w:t>
      </w:r>
      <w:r>
        <w:rPr>
          <w:sz w:val="24"/>
        </w:rPr>
        <w:t>：边角料、收集的粉尘、废包装材料外卖给相关单位综合利用</w:t>
      </w:r>
      <w:r>
        <w:rPr>
          <w:rFonts w:hint="eastAsia"/>
          <w:sz w:val="24"/>
        </w:rPr>
        <w:t>；</w:t>
      </w:r>
      <w:r>
        <w:rPr>
          <w:sz w:val="24"/>
        </w:rPr>
        <w:t>金属边角料、水喷淋除尘污泥外卖给金属回收企业回收利用</w:t>
      </w:r>
      <w:r>
        <w:rPr>
          <w:rFonts w:hint="eastAsia"/>
          <w:sz w:val="24"/>
        </w:rPr>
        <w:t>；</w:t>
      </w:r>
    </w:p>
    <w:p>
      <w:pPr>
        <w:adjustRightInd w:val="0"/>
        <w:snapToGrid w:val="0"/>
        <w:spacing w:line="336" w:lineRule="auto"/>
        <w:ind w:firstLine="482" w:firstLineChars="200"/>
        <w:rPr>
          <w:sz w:val="24"/>
        </w:rPr>
      </w:pPr>
      <w:r>
        <w:rPr>
          <w:rFonts w:hint="eastAsia"/>
          <w:b/>
          <w:bCs/>
          <w:sz w:val="24"/>
        </w:rPr>
        <w:t>危险废物</w:t>
      </w:r>
      <w:r>
        <w:rPr>
          <w:rFonts w:hint="eastAsia"/>
          <w:sz w:val="24"/>
        </w:rPr>
        <w:t>：</w:t>
      </w:r>
      <w:r>
        <w:rPr>
          <w:sz w:val="24"/>
        </w:rPr>
        <w:t>漆渣、废包装桶、废乳化液、废活性炭</w:t>
      </w:r>
      <w:r>
        <w:rPr>
          <w:rFonts w:hint="eastAsia"/>
          <w:sz w:val="24"/>
          <w:lang w:eastAsia="zh-CN"/>
        </w:rPr>
        <w:t>、</w:t>
      </w:r>
      <w:r>
        <w:rPr>
          <w:sz w:val="24"/>
        </w:rPr>
        <w:t>污水处理污泥定期委托</w:t>
      </w:r>
      <w:r>
        <w:rPr>
          <w:rFonts w:hint="eastAsia"/>
          <w:sz w:val="24"/>
        </w:rPr>
        <w:t>金华市莱逸园环保科技开发有限公司</w:t>
      </w:r>
      <w:r>
        <w:rPr>
          <w:sz w:val="24"/>
        </w:rPr>
        <w:t>代为处置；</w:t>
      </w:r>
    </w:p>
    <w:p>
      <w:pPr>
        <w:pStyle w:val="8"/>
        <w:adjustRightInd w:val="0"/>
        <w:snapToGrid w:val="0"/>
        <w:spacing w:after="0" w:line="360" w:lineRule="auto"/>
        <w:ind w:firstLine="480" w:firstLineChars="200"/>
        <w:rPr>
          <w:sz w:val="24"/>
        </w:rPr>
      </w:pPr>
      <w:r>
        <w:rPr>
          <w:sz w:val="24"/>
        </w:rPr>
        <w:t>生活垃圾由环卫部门统一清运。</w:t>
      </w:r>
    </w:p>
    <w:p>
      <w:pPr>
        <w:spacing w:line="360" w:lineRule="auto"/>
        <w:ind w:firstLine="480" w:firstLineChars="200"/>
        <w:jc w:val="left"/>
        <w:rPr>
          <w:sz w:val="24"/>
        </w:rPr>
      </w:pPr>
    </w:p>
    <w:p>
      <w:pPr>
        <w:spacing w:line="360" w:lineRule="auto"/>
        <w:ind w:firstLine="482" w:firstLineChars="200"/>
        <w:rPr>
          <w:sz w:val="24"/>
        </w:rPr>
      </w:pPr>
      <w:r>
        <w:rPr>
          <w:rFonts w:hint="eastAsia"/>
          <w:b/>
          <w:sz w:val="24"/>
        </w:rPr>
        <w:t>三、项目环保设施情况</w:t>
      </w:r>
    </w:p>
    <w:p>
      <w:pPr>
        <w:adjustRightInd w:val="0"/>
        <w:snapToGrid w:val="0"/>
        <w:spacing w:line="360" w:lineRule="auto"/>
        <w:ind w:firstLine="480" w:firstLineChars="200"/>
        <w:jc w:val="center"/>
        <w:rPr>
          <w:sz w:val="24"/>
        </w:rPr>
      </w:pPr>
      <w:r>
        <w:rPr>
          <w:rFonts w:hint="eastAsia"/>
          <w:sz w:val="24"/>
        </w:rPr>
        <w:t>项目环保投资情况一览表</w:t>
      </w:r>
    </w:p>
    <w:tbl>
      <w:tblPr>
        <w:tblStyle w:val="10"/>
        <w:tblW w:w="896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8"/>
        <w:gridCol w:w="660"/>
        <w:gridCol w:w="2483"/>
        <w:gridCol w:w="1489"/>
        <w:gridCol w:w="2410"/>
        <w:gridCol w:w="13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7" w:hRule="atLeast"/>
          <w:jc w:val="center"/>
        </w:trPr>
        <w:tc>
          <w:tcPr>
            <w:tcW w:w="558" w:type="dxa"/>
            <w:vMerge w:val="restart"/>
            <w:vAlign w:val="center"/>
          </w:tcPr>
          <w:p>
            <w:pPr>
              <w:spacing w:line="240" w:lineRule="auto"/>
              <w:ind w:firstLine="0" w:firstLineChars="0"/>
              <w:jc w:val="center"/>
              <w:rPr>
                <w:b/>
                <w:bCs/>
                <w:sz w:val="21"/>
                <w:szCs w:val="21"/>
              </w:rPr>
            </w:pPr>
            <w:r>
              <w:rPr>
                <w:b/>
                <w:bCs/>
                <w:sz w:val="21"/>
                <w:szCs w:val="21"/>
              </w:rPr>
              <w:t>序号</w:t>
            </w:r>
          </w:p>
        </w:tc>
        <w:tc>
          <w:tcPr>
            <w:tcW w:w="660" w:type="dxa"/>
            <w:vMerge w:val="restart"/>
            <w:vAlign w:val="center"/>
          </w:tcPr>
          <w:p>
            <w:pPr>
              <w:spacing w:line="240" w:lineRule="auto"/>
              <w:ind w:firstLine="0" w:firstLineChars="0"/>
              <w:jc w:val="center"/>
              <w:rPr>
                <w:b/>
                <w:bCs/>
                <w:sz w:val="21"/>
                <w:szCs w:val="21"/>
              </w:rPr>
            </w:pPr>
            <w:r>
              <w:rPr>
                <w:b/>
                <w:bCs/>
                <w:sz w:val="21"/>
                <w:szCs w:val="21"/>
              </w:rPr>
              <w:t>项目名称</w:t>
            </w:r>
          </w:p>
        </w:tc>
        <w:tc>
          <w:tcPr>
            <w:tcW w:w="3972" w:type="dxa"/>
            <w:gridSpan w:val="2"/>
            <w:vAlign w:val="center"/>
          </w:tcPr>
          <w:p>
            <w:pPr>
              <w:spacing w:line="240" w:lineRule="auto"/>
              <w:ind w:firstLine="0" w:firstLineChars="0"/>
              <w:jc w:val="center"/>
              <w:rPr>
                <w:b/>
                <w:bCs/>
                <w:sz w:val="21"/>
                <w:szCs w:val="21"/>
              </w:rPr>
            </w:pPr>
            <w:r>
              <w:rPr>
                <w:b/>
                <w:bCs/>
                <w:sz w:val="21"/>
                <w:szCs w:val="21"/>
              </w:rPr>
              <w:t>环评设计</w:t>
            </w:r>
          </w:p>
        </w:tc>
        <w:tc>
          <w:tcPr>
            <w:tcW w:w="3770" w:type="dxa"/>
            <w:gridSpan w:val="2"/>
            <w:vAlign w:val="center"/>
          </w:tcPr>
          <w:p>
            <w:pPr>
              <w:spacing w:line="240" w:lineRule="auto"/>
              <w:ind w:firstLine="0" w:firstLineChars="0"/>
              <w:jc w:val="center"/>
              <w:rPr>
                <w:b/>
                <w:bCs/>
                <w:sz w:val="21"/>
                <w:szCs w:val="21"/>
              </w:rPr>
            </w:pPr>
            <w:r>
              <w:rPr>
                <w:b/>
                <w:bCs/>
                <w:sz w:val="21"/>
                <w:szCs w:val="21"/>
              </w:rPr>
              <w:t>实际建设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4" w:hRule="atLeast"/>
          <w:jc w:val="center"/>
        </w:trPr>
        <w:tc>
          <w:tcPr>
            <w:tcW w:w="558" w:type="dxa"/>
            <w:vMerge w:val="continue"/>
            <w:vAlign w:val="center"/>
          </w:tcPr>
          <w:p>
            <w:pPr>
              <w:spacing w:line="240" w:lineRule="auto"/>
              <w:ind w:firstLine="0" w:firstLineChars="0"/>
              <w:jc w:val="center"/>
              <w:rPr>
                <w:b/>
                <w:bCs/>
                <w:sz w:val="21"/>
                <w:szCs w:val="21"/>
              </w:rPr>
            </w:pPr>
          </w:p>
        </w:tc>
        <w:tc>
          <w:tcPr>
            <w:tcW w:w="660" w:type="dxa"/>
            <w:vMerge w:val="continue"/>
            <w:vAlign w:val="center"/>
          </w:tcPr>
          <w:p>
            <w:pPr>
              <w:spacing w:line="240" w:lineRule="auto"/>
              <w:ind w:firstLine="0" w:firstLineChars="0"/>
              <w:jc w:val="center"/>
              <w:rPr>
                <w:b/>
                <w:bCs/>
                <w:sz w:val="21"/>
                <w:szCs w:val="21"/>
              </w:rPr>
            </w:pPr>
          </w:p>
        </w:tc>
        <w:tc>
          <w:tcPr>
            <w:tcW w:w="2483" w:type="dxa"/>
            <w:vAlign w:val="center"/>
          </w:tcPr>
          <w:p>
            <w:pPr>
              <w:spacing w:line="240" w:lineRule="auto"/>
              <w:ind w:firstLine="0" w:firstLineChars="0"/>
              <w:jc w:val="center"/>
              <w:rPr>
                <w:b/>
                <w:bCs/>
                <w:sz w:val="21"/>
                <w:szCs w:val="21"/>
              </w:rPr>
            </w:pPr>
            <w:r>
              <w:rPr>
                <w:b/>
                <w:bCs/>
                <w:sz w:val="21"/>
                <w:szCs w:val="21"/>
              </w:rPr>
              <w:t>内容</w:t>
            </w:r>
          </w:p>
        </w:tc>
        <w:tc>
          <w:tcPr>
            <w:tcW w:w="1489" w:type="dxa"/>
            <w:vAlign w:val="center"/>
          </w:tcPr>
          <w:p>
            <w:pPr>
              <w:spacing w:line="240" w:lineRule="auto"/>
              <w:ind w:firstLine="0" w:firstLineChars="0"/>
              <w:jc w:val="center"/>
              <w:rPr>
                <w:b/>
                <w:bCs/>
                <w:sz w:val="21"/>
                <w:szCs w:val="21"/>
              </w:rPr>
            </w:pPr>
            <w:r>
              <w:rPr>
                <w:b/>
                <w:bCs/>
                <w:sz w:val="21"/>
                <w:szCs w:val="21"/>
              </w:rPr>
              <w:t>投资（万元）</w:t>
            </w:r>
          </w:p>
        </w:tc>
        <w:tc>
          <w:tcPr>
            <w:tcW w:w="2410" w:type="dxa"/>
            <w:vAlign w:val="center"/>
          </w:tcPr>
          <w:p>
            <w:pPr>
              <w:spacing w:line="240" w:lineRule="auto"/>
              <w:ind w:firstLine="0" w:firstLineChars="0"/>
              <w:jc w:val="center"/>
              <w:rPr>
                <w:b/>
                <w:bCs/>
                <w:sz w:val="21"/>
                <w:szCs w:val="21"/>
              </w:rPr>
            </w:pPr>
            <w:r>
              <w:rPr>
                <w:b/>
                <w:bCs/>
                <w:sz w:val="21"/>
                <w:szCs w:val="21"/>
              </w:rPr>
              <w:t>内容</w:t>
            </w:r>
          </w:p>
        </w:tc>
        <w:tc>
          <w:tcPr>
            <w:tcW w:w="1360" w:type="dxa"/>
            <w:vAlign w:val="center"/>
          </w:tcPr>
          <w:p>
            <w:pPr>
              <w:spacing w:line="240" w:lineRule="auto"/>
              <w:ind w:firstLine="0" w:firstLineChars="0"/>
              <w:jc w:val="center"/>
              <w:rPr>
                <w:b/>
                <w:bCs/>
                <w:sz w:val="21"/>
                <w:szCs w:val="21"/>
              </w:rPr>
            </w:pPr>
            <w:r>
              <w:rPr>
                <w:b/>
                <w:bCs/>
                <w:sz w:val="21"/>
                <w:szCs w:val="21"/>
              </w:rPr>
              <w:t>投资</w:t>
            </w:r>
          </w:p>
          <w:p>
            <w:pPr>
              <w:spacing w:line="240" w:lineRule="auto"/>
              <w:ind w:firstLine="0" w:firstLineChars="0"/>
              <w:jc w:val="center"/>
              <w:rPr>
                <w:b/>
                <w:bCs/>
                <w:sz w:val="21"/>
                <w:szCs w:val="21"/>
              </w:rPr>
            </w:pPr>
            <w:r>
              <w:rPr>
                <w:b/>
                <w:bCs/>
                <w:sz w:val="21"/>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4" w:hRule="atLeast"/>
          <w:jc w:val="center"/>
        </w:trPr>
        <w:tc>
          <w:tcPr>
            <w:tcW w:w="558" w:type="dxa"/>
            <w:vAlign w:val="center"/>
          </w:tcPr>
          <w:p>
            <w:pPr>
              <w:spacing w:line="240" w:lineRule="auto"/>
              <w:ind w:firstLine="0" w:firstLineChars="0"/>
              <w:jc w:val="center"/>
              <w:rPr>
                <w:sz w:val="21"/>
                <w:szCs w:val="21"/>
              </w:rPr>
            </w:pPr>
            <w:r>
              <w:rPr>
                <w:sz w:val="21"/>
                <w:szCs w:val="21"/>
              </w:rPr>
              <w:t>1</w:t>
            </w:r>
          </w:p>
        </w:tc>
        <w:tc>
          <w:tcPr>
            <w:tcW w:w="660" w:type="dxa"/>
            <w:vAlign w:val="center"/>
          </w:tcPr>
          <w:p>
            <w:pPr>
              <w:spacing w:line="240" w:lineRule="auto"/>
              <w:ind w:firstLine="0" w:firstLineChars="0"/>
              <w:jc w:val="center"/>
              <w:rPr>
                <w:sz w:val="21"/>
                <w:szCs w:val="21"/>
              </w:rPr>
            </w:pPr>
            <w:r>
              <w:rPr>
                <w:sz w:val="21"/>
                <w:szCs w:val="21"/>
              </w:rPr>
              <w:t>废水</w:t>
            </w:r>
          </w:p>
        </w:tc>
        <w:tc>
          <w:tcPr>
            <w:tcW w:w="2483" w:type="dxa"/>
            <w:vAlign w:val="center"/>
          </w:tcPr>
          <w:p>
            <w:pPr>
              <w:spacing w:line="240" w:lineRule="auto"/>
              <w:ind w:firstLine="0" w:firstLineChars="0"/>
              <w:jc w:val="center"/>
              <w:rPr>
                <w:sz w:val="21"/>
                <w:szCs w:val="21"/>
              </w:rPr>
            </w:pPr>
            <w:r>
              <w:rPr>
                <w:rFonts w:hint="eastAsia"/>
                <w:sz w:val="21"/>
                <w:szCs w:val="21"/>
                <w:lang w:eastAsia="zh-CN"/>
              </w:rPr>
              <w:t>污水</w:t>
            </w:r>
            <w:r>
              <w:rPr>
                <w:sz w:val="21"/>
                <w:szCs w:val="21"/>
              </w:rPr>
              <w:t>处理设施</w:t>
            </w:r>
          </w:p>
        </w:tc>
        <w:tc>
          <w:tcPr>
            <w:tcW w:w="1489"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30</w:t>
            </w:r>
          </w:p>
        </w:tc>
        <w:tc>
          <w:tcPr>
            <w:tcW w:w="2410" w:type="dxa"/>
            <w:vAlign w:val="center"/>
          </w:tcPr>
          <w:p>
            <w:pPr>
              <w:spacing w:line="240" w:lineRule="auto"/>
              <w:ind w:firstLine="0" w:firstLineChars="0"/>
              <w:jc w:val="center"/>
              <w:rPr>
                <w:sz w:val="21"/>
                <w:szCs w:val="21"/>
              </w:rPr>
            </w:pPr>
            <w:r>
              <w:rPr>
                <w:sz w:val="21"/>
                <w:szCs w:val="21"/>
              </w:rPr>
              <w:t>雨污管道铺设、</w:t>
            </w:r>
            <w:r>
              <w:rPr>
                <w:rFonts w:hint="eastAsia"/>
                <w:sz w:val="21"/>
                <w:szCs w:val="21"/>
                <w:lang w:eastAsia="zh-CN"/>
              </w:rPr>
              <w:t>废水处理设施、应急池等</w:t>
            </w:r>
          </w:p>
        </w:tc>
        <w:tc>
          <w:tcPr>
            <w:tcW w:w="1360"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558" w:type="dxa"/>
            <w:vAlign w:val="center"/>
          </w:tcPr>
          <w:p>
            <w:pPr>
              <w:spacing w:line="240" w:lineRule="auto"/>
              <w:ind w:firstLine="0" w:firstLineChars="0"/>
              <w:jc w:val="center"/>
              <w:rPr>
                <w:sz w:val="21"/>
                <w:szCs w:val="21"/>
              </w:rPr>
            </w:pPr>
            <w:r>
              <w:rPr>
                <w:sz w:val="21"/>
                <w:szCs w:val="21"/>
              </w:rPr>
              <w:t>2</w:t>
            </w:r>
          </w:p>
        </w:tc>
        <w:tc>
          <w:tcPr>
            <w:tcW w:w="660" w:type="dxa"/>
            <w:vAlign w:val="center"/>
          </w:tcPr>
          <w:p>
            <w:pPr>
              <w:spacing w:line="240" w:lineRule="auto"/>
              <w:ind w:firstLine="0" w:firstLineChars="0"/>
              <w:jc w:val="center"/>
              <w:rPr>
                <w:sz w:val="21"/>
                <w:szCs w:val="21"/>
              </w:rPr>
            </w:pPr>
            <w:r>
              <w:rPr>
                <w:sz w:val="21"/>
                <w:szCs w:val="21"/>
              </w:rPr>
              <w:t>废气</w:t>
            </w:r>
          </w:p>
        </w:tc>
        <w:tc>
          <w:tcPr>
            <w:tcW w:w="2483" w:type="dxa"/>
            <w:vAlign w:val="center"/>
          </w:tcPr>
          <w:p>
            <w:pPr>
              <w:spacing w:line="240" w:lineRule="auto"/>
              <w:ind w:firstLine="0" w:firstLineChars="0"/>
              <w:jc w:val="center"/>
              <w:rPr>
                <w:sz w:val="21"/>
                <w:szCs w:val="21"/>
              </w:rPr>
            </w:pPr>
            <w:r>
              <w:rPr>
                <w:sz w:val="21"/>
                <w:szCs w:val="21"/>
              </w:rPr>
              <w:t>废气处理设施</w:t>
            </w:r>
          </w:p>
        </w:tc>
        <w:tc>
          <w:tcPr>
            <w:tcW w:w="1489"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50</w:t>
            </w:r>
          </w:p>
        </w:tc>
        <w:tc>
          <w:tcPr>
            <w:tcW w:w="2410" w:type="dxa"/>
            <w:vAlign w:val="center"/>
          </w:tcPr>
          <w:p>
            <w:pPr>
              <w:spacing w:line="240" w:lineRule="auto"/>
              <w:ind w:firstLine="0" w:firstLineChars="0"/>
              <w:jc w:val="center"/>
              <w:rPr>
                <w:rFonts w:hint="eastAsia" w:eastAsia="宋体"/>
                <w:sz w:val="21"/>
                <w:szCs w:val="21"/>
                <w:lang w:eastAsia="zh-CN"/>
              </w:rPr>
            </w:pPr>
            <w:r>
              <w:rPr>
                <w:sz w:val="21"/>
                <w:szCs w:val="21"/>
              </w:rPr>
              <w:t>废气处理设施</w:t>
            </w:r>
            <w:bookmarkStart w:id="0" w:name="_GoBack"/>
            <w:bookmarkEnd w:id="0"/>
          </w:p>
        </w:tc>
        <w:tc>
          <w:tcPr>
            <w:tcW w:w="1360"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558" w:type="dxa"/>
            <w:vAlign w:val="center"/>
          </w:tcPr>
          <w:p>
            <w:pPr>
              <w:spacing w:line="240" w:lineRule="auto"/>
              <w:ind w:firstLine="0" w:firstLineChars="0"/>
              <w:jc w:val="center"/>
              <w:rPr>
                <w:sz w:val="21"/>
                <w:szCs w:val="21"/>
              </w:rPr>
            </w:pPr>
            <w:r>
              <w:rPr>
                <w:sz w:val="21"/>
                <w:szCs w:val="21"/>
              </w:rPr>
              <w:t>3</w:t>
            </w:r>
          </w:p>
        </w:tc>
        <w:tc>
          <w:tcPr>
            <w:tcW w:w="660" w:type="dxa"/>
            <w:vAlign w:val="center"/>
          </w:tcPr>
          <w:p>
            <w:pPr>
              <w:spacing w:line="240" w:lineRule="auto"/>
              <w:ind w:firstLine="0" w:firstLineChars="0"/>
              <w:jc w:val="center"/>
              <w:rPr>
                <w:sz w:val="21"/>
                <w:szCs w:val="21"/>
              </w:rPr>
            </w:pPr>
            <w:r>
              <w:rPr>
                <w:sz w:val="21"/>
                <w:szCs w:val="21"/>
              </w:rPr>
              <w:t>固废</w:t>
            </w:r>
          </w:p>
        </w:tc>
        <w:tc>
          <w:tcPr>
            <w:tcW w:w="2483" w:type="dxa"/>
            <w:vAlign w:val="center"/>
          </w:tcPr>
          <w:p>
            <w:pPr>
              <w:spacing w:line="240" w:lineRule="auto"/>
              <w:ind w:firstLine="0" w:firstLineChars="0"/>
              <w:jc w:val="center"/>
              <w:rPr>
                <w:sz w:val="21"/>
                <w:szCs w:val="21"/>
              </w:rPr>
            </w:pPr>
            <w:r>
              <w:rPr>
                <w:sz w:val="21"/>
                <w:szCs w:val="21"/>
              </w:rPr>
              <w:t>固废收集、处理、处置设施</w:t>
            </w:r>
          </w:p>
        </w:tc>
        <w:tc>
          <w:tcPr>
            <w:tcW w:w="1489"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10</w:t>
            </w:r>
          </w:p>
        </w:tc>
        <w:tc>
          <w:tcPr>
            <w:tcW w:w="2410" w:type="dxa"/>
            <w:vAlign w:val="center"/>
          </w:tcPr>
          <w:p>
            <w:pPr>
              <w:spacing w:line="240" w:lineRule="auto"/>
              <w:ind w:firstLine="0" w:firstLineChars="0"/>
              <w:jc w:val="center"/>
              <w:rPr>
                <w:sz w:val="21"/>
                <w:szCs w:val="21"/>
              </w:rPr>
            </w:pPr>
            <w:r>
              <w:rPr>
                <w:sz w:val="21"/>
                <w:szCs w:val="21"/>
              </w:rPr>
              <w:t>固废收集、建设储存场所</w:t>
            </w:r>
          </w:p>
        </w:tc>
        <w:tc>
          <w:tcPr>
            <w:tcW w:w="1360"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4" w:hRule="atLeast"/>
          <w:jc w:val="center"/>
        </w:trPr>
        <w:tc>
          <w:tcPr>
            <w:tcW w:w="558" w:type="dxa"/>
            <w:vAlign w:val="center"/>
          </w:tcPr>
          <w:p>
            <w:pPr>
              <w:spacing w:line="240" w:lineRule="auto"/>
              <w:ind w:firstLine="0" w:firstLineChars="0"/>
              <w:jc w:val="center"/>
              <w:rPr>
                <w:sz w:val="21"/>
                <w:szCs w:val="21"/>
              </w:rPr>
            </w:pPr>
            <w:r>
              <w:rPr>
                <w:sz w:val="21"/>
                <w:szCs w:val="21"/>
              </w:rPr>
              <w:t>4</w:t>
            </w:r>
          </w:p>
        </w:tc>
        <w:tc>
          <w:tcPr>
            <w:tcW w:w="660" w:type="dxa"/>
            <w:vAlign w:val="center"/>
          </w:tcPr>
          <w:p>
            <w:pPr>
              <w:spacing w:line="240" w:lineRule="auto"/>
              <w:ind w:firstLine="0" w:firstLineChars="0"/>
              <w:jc w:val="center"/>
              <w:rPr>
                <w:sz w:val="21"/>
                <w:szCs w:val="21"/>
              </w:rPr>
            </w:pPr>
            <w:r>
              <w:rPr>
                <w:sz w:val="21"/>
                <w:szCs w:val="21"/>
              </w:rPr>
              <w:t>噪声</w:t>
            </w:r>
          </w:p>
        </w:tc>
        <w:tc>
          <w:tcPr>
            <w:tcW w:w="2483" w:type="dxa"/>
            <w:vAlign w:val="center"/>
          </w:tcPr>
          <w:p>
            <w:pPr>
              <w:spacing w:line="240" w:lineRule="auto"/>
              <w:ind w:firstLine="0" w:firstLineChars="0"/>
              <w:jc w:val="center"/>
              <w:rPr>
                <w:sz w:val="21"/>
                <w:szCs w:val="21"/>
              </w:rPr>
            </w:pPr>
            <w:r>
              <w:rPr>
                <w:sz w:val="21"/>
                <w:szCs w:val="21"/>
              </w:rPr>
              <w:t>噪声控制设施</w:t>
            </w:r>
          </w:p>
        </w:tc>
        <w:tc>
          <w:tcPr>
            <w:tcW w:w="1489"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10</w:t>
            </w:r>
          </w:p>
        </w:tc>
        <w:tc>
          <w:tcPr>
            <w:tcW w:w="2410" w:type="dxa"/>
            <w:vAlign w:val="center"/>
          </w:tcPr>
          <w:p>
            <w:pPr>
              <w:spacing w:line="240" w:lineRule="auto"/>
              <w:ind w:firstLine="0" w:firstLineChars="0"/>
              <w:jc w:val="center"/>
              <w:rPr>
                <w:sz w:val="21"/>
                <w:szCs w:val="21"/>
              </w:rPr>
            </w:pPr>
            <w:r>
              <w:rPr>
                <w:sz w:val="21"/>
                <w:szCs w:val="21"/>
              </w:rPr>
              <w:t>对设备进行加固、隔音、吸声</w:t>
            </w:r>
          </w:p>
        </w:tc>
        <w:tc>
          <w:tcPr>
            <w:tcW w:w="1360"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77" w:hRule="atLeast"/>
          <w:jc w:val="center"/>
        </w:trPr>
        <w:tc>
          <w:tcPr>
            <w:tcW w:w="3701" w:type="dxa"/>
            <w:gridSpan w:val="3"/>
            <w:vAlign w:val="center"/>
          </w:tcPr>
          <w:p>
            <w:pPr>
              <w:spacing w:line="240" w:lineRule="auto"/>
              <w:ind w:firstLine="0" w:firstLineChars="0"/>
              <w:jc w:val="center"/>
              <w:rPr>
                <w:sz w:val="21"/>
                <w:szCs w:val="21"/>
              </w:rPr>
            </w:pPr>
            <w:r>
              <w:rPr>
                <w:sz w:val="21"/>
                <w:szCs w:val="21"/>
              </w:rPr>
              <w:t>合计</w:t>
            </w:r>
          </w:p>
        </w:tc>
        <w:tc>
          <w:tcPr>
            <w:tcW w:w="1489"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100</w:t>
            </w:r>
          </w:p>
        </w:tc>
        <w:tc>
          <w:tcPr>
            <w:tcW w:w="2410" w:type="dxa"/>
            <w:vAlign w:val="center"/>
          </w:tcPr>
          <w:p>
            <w:pPr>
              <w:spacing w:line="240" w:lineRule="auto"/>
              <w:ind w:firstLine="0" w:firstLineChars="0"/>
              <w:jc w:val="center"/>
              <w:rPr>
                <w:sz w:val="21"/>
                <w:szCs w:val="21"/>
              </w:rPr>
            </w:pPr>
            <w:r>
              <w:rPr>
                <w:sz w:val="21"/>
                <w:szCs w:val="21"/>
              </w:rPr>
              <w:t>/</w:t>
            </w:r>
          </w:p>
        </w:tc>
        <w:tc>
          <w:tcPr>
            <w:tcW w:w="1360" w:type="dxa"/>
            <w:vAlign w:val="center"/>
          </w:tcPr>
          <w:p>
            <w:pPr>
              <w:spacing w:line="240" w:lineRule="auto"/>
              <w:ind w:firstLine="0" w:firstLineChars="0"/>
              <w:jc w:val="center"/>
              <w:rPr>
                <w:rFonts w:hint="eastAsia" w:eastAsia="宋体"/>
                <w:sz w:val="21"/>
                <w:szCs w:val="21"/>
                <w:lang w:eastAsia="zh-CN"/>
              </w:rPr>
            </w:pPr>
            <w:r>
              <w:rPr>
                <w:rFonts w:hint="eastAsia"/>
                <w:sz w:val="21"/>
                <w:szCs w:val="21"/>
                <w:lang w:val="en-US" w:eastAsia="zh-CN"/>
              </w:rPr>
              <w:t>110</w:t>
            </w:r>
          </w:p>
        </w:tc>
      </w:tr>
    </w:tbl>
    <w:p>
      <w:pPr>
        <w:spacing w:before="156" w:beforeLines="50" w:after="156" w:afterLines="50"/>
        <w:rPr>
          <w:rFonts w:hAnsi="宋体"/>
          <w:b/>
          <w:sz w:val="24"/>
        </w:rPr>
      </w:pPr>
    </w:p>
    <w:p>
      <w:pPr>
        <w:spacing w:before="156" w:beforeLines="50" w:after="156" w:afterLines="50"/>
        <w:rPr>
          <w:b/>
        </w:rPr>
      </w:pPr>
      <w:r>
        <w:rPr>
          <w:rFonts w:hint="eastAsia" w:hAnsi="宋体"/>
          <w:b/>
          <w:sz w:val="24"/>
        </w:rPr>
        <w:t>四、</w:t>
      </w:r>
      <w:r>
        <w:rPr>
          <w:rFonts w:hAnsi="宋体"/>
          <w:b/>
          <w:sz w:val="24"/>
        </w:rPr>
        <w:t>环评批复落实情况检查</w:t>
      </w:r>
      <w:r>
        <w:rPr>
          <w:rFonts w:hint="eastAsia" w:hAnsi="宋体"/>
          <w:b/>
          <w:sz w:val="24"/>
        </w:rPr>
        <w:t>表</w:t>
      </w:r>
    </w:p>
    <w:tbl>
      <w:tblPr>
        <w:tblStyle w:val="10"/>
        <w:tblW w:w="88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484"/>
        <w:gridCol w:w="385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5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b/>
                <w:bCs/>
                <w:sz w:val="21"/>
                <w:szCs w:val="21"/>
              </w:rPr>
            </w:pPr>
            <w:r>
              <w:rPr>
                <w:b/>
                <w:bCs/>
                <w:sz w:val="21"/>
                <w:szCs w:val="21"/>
              </w:rPr>
              <w:t>序号</w:t>
            </w:r>
          </w:p>
        </w:tc>
        <w:tc>
          <w:tcPr>
            <w:tcW w:w="34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b/>
                <w:bCs/>
                <w:sz w:val="21"/>
                <w:szCs w:val="21"/>
              </w:rPr>
            </w:pPr>
            <w:r>
              <w:rPr>
                <w:b/>
                <w:bCs/>
                <w:sz w:val="21"/>
                <w:szCs w:val="21"/>
              </w:rPr>
              <w:t>项目环评批复意见要求</w:t>
            </w:r>
          </w:p>
        </w:tc>
        <w:tc>
          <w:tcPr>
            <w:tcW w:w="38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b/>
                <w:sz w:val="21"/>
                <w:szCs w:val="21"/>
              </w:rPr>
            </w:pPr>
            <w:r>
              <w:rPr>
                <w:b/>
                <w:bCs/>
                <w:sz w:val="21"/>
                <w:szCs w:val="21"/>
              </w:rPr>
              <w:t>实际执行情况</w:t>
            </w:r>
          </w:p>
        </w:tc>
        <w:tc>
          <w:tcPr>
            <w:tcW w:w="88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b/>
                <w:bCs/>
                <w:sz w:val="21"/>
                <w:szCs w:val="21"/>
              </w:rPr>
            </w:pPr>
            <w:r>
              <w:rPr>
                <w:b/>
                <w:bCs/>
                <w:sz w:val="21"/>
                <w:szCs w:val="21"/>
              </w:rPr>
              <w:t>对比</w:t>
            </w:r>
          </w:p>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b/>
                <w:sz w:val="21"/>
                <w:szCs w:val="21"/>
              </w:rPr>
            </w:pPr>
            <w:r>
              <w:rPr>
                <w:b/>
                <w:bCs/>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7" w:hRule="atLeast"/>
          <w:jc w:val="center"/>
        </w:trPr>
        <w:tc>
          <w:tcPr>
            <w:tcW w:w="5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1</w:t>
            </w:r>
          </w:p>
        </w:tc>
        <w:tc>
          <w:tcPr>
            <w:tcW w:w="34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本项目在永康永康经济开发区华夏路111号内实施。项目总投资513万元，建成后年产600万只不锈钢保温杯的生产能力。</w:t>
            </w:r>
          </w:p>
        </w:tc>
        <w:tc>
          <w:tcPr>
            <w:tcW w:w="38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项目位于永康经济开发区华夏路111号。项目实际投资513万元，其中环保投资1</w:t>
            </w:r>
            <w:r>
              <w:rPr>
                <w:rFonts w:hint="eastAsia"/>
                <w:sz w:val="21"/>
                <w:szCs w:val="21"/>
                <w:lang w:val="en-US" w:eastAsia="zh-CN"/>
              </w:rPr>
              <w:t>1</w:t>
            </w:r>
            <w:r>
              <w:rPr>
                <w:sz w:val="21"/>
                <w:szCs w:val="21"/>
              </w:rPr>
              <w:t>0万元，占总投资比例</w:t>
            </w:r>
            <w:r>
              <w:rPr>
                <w:rFonts w:hint="eastAsia"/>
                <w:sz w:val="21"/>
                <w:szCs w:val="21"/>
                <w:lang w:val="en-US" w:eastAsia="zh-CN"/>
              </w:rPr>
              <w:t>21.4</w:t>
            </w:r>
            <w:r>
              <w:rPr>
                <w:sz w:val="21"/>
                <w:szCs w:val="21"/>
              </w:rPr>
              <w:t>%，实际生产规模为年产500万只不锈钢保温杯。</w:t>
            </w:r>
          </w:p>
        </w:tc>
        <w:tc>
          <w:tcPr>
            <w:tcW w:w="883" w:type="dxa"/>
            <w:vAlign w:val="center"/>
          </w:tcPr>
          <w:p>
            <w:pPr>
              <w:pStyle w:val="3"/>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7" w:hRule="atLeast"/>
          <w:jc w:val="center"/>
        </w:trPr>
        <w:tc>
          <w:tcPr>
            <w:tcW w:w="5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2</w:t>
            </w:r>
          </w:p>
        </w:tc>
        <w:tc>
          <w:tcPr>
            <w:tcW w:w="34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完善本区块排水系的统筹规划和建设，做好雨污分流、清污分流的管道布设，并与当地排水管网相衔接。脱脂清洗、除漆雾废水经污水处理站处理；生活污水经地埋式污水处理设施处理；各类污水经处理达到《污水综合排放标准》（GB8978—1996）三级标准后排入当地污水管网，最终纳入城市污水处理厂处理，设置规范化排污口。</w:t>
            </w:r>
          </w:p>
        </w:tc>
        <w:tc>
          <w:tcPr>
            <w:tcW w:w="38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企业已做好雨污分流、清污分流的管道布设，脱脂清洗废水与除漆雾废水经厂内污水处理设施处理达到《污水综合排放标准》（GB8978-1996）三级标准后排放与经过厂内预处理的生活污水一并排放。</w:t>
            </w:r>
          </w:p>
        </w:tc>
        <w:tc>
          <w:tcPr>
            <w:tcW w:w="883" w:type="dxa"/>
            <w:vAlign w:val="center"/>
          </w:tcPr>
          <w:p>
            <w:pPr>
              <w:pStyle w:val="3"/>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7" w:hRule="atLeast"/>
          <w:jc w:val="center"/>
        </w:trPr>
        <w:tc>
          <w:tcPr>
            <w:tcW w:w="58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3</w:t>
            </w:r>
          </w:p>
        </w:tc>
        <w:tc>
          <w:tcPr>
            <w:tcW w:w="34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认真落实废气处置措施，切实做好废气污染防治工作。加强焊接车间通风；抛光粉尘经集中收集后经水喷淋除尘处理后引至15米高空排放；喷漆、调漆废气经水喷淋+除湿+活性炭吸附装置处理后15米高空排放；流平、丝印、烘干废气经水喷淋+除湿+UV光解+高活化生物净化装置处理后15米排气筒高空排放；喷塑粉尘经滤芯+布袋除尘装置处理后排放，废气排放执行《大气污染物综合排放标准》（GB16297－1996）二级标准。天然气燃烧烟气收集后15米高空排放，执行《工业炉窑大气污染物排放标准》（GB9078-1996）二类区</w:t>
            </w:r>
            <w:r>
              <w:rPr>
                <w:rFonts w:hint="eastAsia" w:ascii="宋体" w:hAnsi="宋体" w:cs="宋体"/>
                <w:sz w:val="21"/>
                <w:szCs w:val="21"/>
              </w:rPr>
              <w:t>Ⅱ</w:t>
            </w:r>
            <w:r>
              <w:rPr>
                <w:sz w:val="21"/>
                <w:szCs w:val="21"/>
              </w:rPr>
              <w:t>时段标准。</w:t>
            </w:r>
          </w:p>
        </w:tc>
        <w:tc>
          <w:tcPr>
            <w:tcW w:w="38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焊接烟尘无组织排放。</w:t>
            </w:r>
          </w:p>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抛光粉尘经集中收集后经水喷淋除尘处理后引至17米高空排放。</w:t>
            </w:r>
          </w:p>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喷漆、调漆废气经水喷淋+除湿+活性炭吸附装置处理后17米高空排放。</w:t>
            </w:r>
          </w:p>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项目天然气</w:t>
            </w:r>
            <w:r>
              <w:rPr>
                <w:rFonts w:hint="eastAsia"/>
                <w:sz w:val="21"/>
                <w:szCs w:val="21"/>
                <w:lang w:eastAsia="zh-CN"/>
              </w:rPr>
              <w:t>直接加热</w:t>
            </w:r>
            <w:r>
              <w:rPr>
                <w:sz w:val="21"/>
                <w:szCs w:val="21"/>
              </w:rPr>
              <w:t>燃烧烟气、丝印及丝印烘干废气与流平、烘干废气一起经水喷淋+除湿+UV光解+高活化生物净化装置处理后由17米排气筒高空排放。</w:t>
            </w:r>
          </w:p>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喷塑粉尘经滤芯+布袋除尘装置处理后引至室外17米排气筒高空排放。</w:t>
            </w:r>
          </w:p>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p>
        </w:tc>
        <w:tc>
          <w:tcPr>
            <w:tcW w:w="883" w:type="dxa"/>
            <w:vAlign w:val="center"/>
          </w:tcPr>
          <w:p>
            <w:pPr>
              <w:pStyle w:val="3"/>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基本满足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jc w:val="center"/>
        </w:trPr>
        <w:tc>
          <w:tcPr>
            <w:tcW w:w="585" w:type="dxa"/>
            <w:vAlign w:val="center"/>
          </w:tcPr>
          <w:p>
            <w:pPr>
              <w:pStyle w:val="3"/>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4</w:t>
            </w:r>
          </w:p>
        </w:tc>
        <w:tc>
          <w:tcPr>
            <w:tcW w:w="34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认真落实各项噪声污染防治措施，严格控制营运期间产生的噪声对环境的影响。合理布局厂房，将高噪声设备安排单独的隔离车间，在设备选型时尽可能选用低噪声设备，并按环评报告表要求对主要声源采取消声降噪等降噪措施，确保厂界噪声达标排放。</w:t>
            </w:r>
          </w:p>
        </w:tc>
        <w:tc>
          <w:tcPr>
            <w:tcW w:w="38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厂区已合理厂房，已将高噪声设备安排单独的隔离车间，在设备选型时选用了低噪声设备，并按环评</w:t>
            </w:r>
            <w:r>
              <w:rPr>
                <w:rFonts w:hint="eastAsia"/>
                <w:sz w:val="21"/>
                <w:szCs w:val="21"/>
                <w:lang w:eastAsia="zh-CN"/>
              </w:rPr>
              <w:t>报告书</w:t>
            </w:r>
            <w:r>
              <w:rPr>
                <w:sz w:val="21"/>
                <w:szCs w:val="21"/>
              </w:rPr>
              <w:t>要求对主要声源采取消声降噪等降噪措施</w:t>
            </w:r>
          </w:p>
        </w:tc>
        <w:tc>
          <w:tcPr>
            <w:tcW w:w="88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jc w:val="center"/>
        </w:trPr>
        <w:tc>
          <w:tcPr>
            <w:tcW w:w="585" w:type="dxa"/>
            <w:vAlign w:val="center"/>
          </w:tcPr>
          <w:p>
            <w:pPr>
              <w:pStyle w:val="3"/>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5</w:t>
            </w:r>
          </w:p>
        </w:tc>
        <w:tc>
          <w:tcPr>
            <w:tcW w:w="34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按规定妥善储存和处置固体废物，提高综合利用率，防止产生二次污染。规范设置废物暂存处，危险废物与一般固废分类收集、堆放处置。漆渣、废活性炭、废乳化液、废包装桶等危险废物委托有资质的单位处置；金属边角料、水喷淋除尘污泥外卖给金属回收企业回收利用；废包装材料分类收集，可回收利用的回收利用，不可回收利用部分与生活垃圾一起外运填埋；污水处理污泥定期送垃圾填埋场填埋；生活垃圾由环卫部门统一清运处置。</w:t>
            </w:r>
          </w:p>
        </w:tc>
        <w:tc>
          <w:tcPr>
            <w:tcW w:w="38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生产固废：</w:t>
            </w:r>
            <w:r>
              <w:rPr>
                <w:rFonts w:hint="eastAsia"/>
                <w:sz w:val="21"/>
                <w:szCs w:val="21"/>
                <w:lang w:eastAsia="zh-CN"/>
              </w:rPr>
              <w:t>废水处理污泥、</w:t>
            </w:r>
            <w:r>
              <w:rPr>
                <w:sz w:val="21"/>
                <w:szCs w:val="21"/>
              </w:rPr>
              <w:t>漆渣、废活性炭、废乳化液、废包装桶等危险废物委托有资质的单位处置；金属边角料、水喷淋除尘污泥外卖给金属回收企业回收利用；废包装材料分类收集后出售给相关单位综合利用。</w:t>
            </w:r>
          </w:p>
          <w:p>
            <w:pPr>
              <w:pStyle w:val="4"/>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textAlignment w:val="auto"/>
              <w:outlineLvl w:val="9"/>
              <w:rPr>
                <w:rFonts w:eastAsia="宋体"/>
                <w:sz w:val="21"/>
                <w:szCs w:val="21"/>
              </w:rPr>
            </w:pPr>
            <w:r>
              <w:rPr>
                <w:rFonts w:eastAsia="宋体"/>
                <w:sz w:val="21"/>
                <w:szCs w:val="21"/>
              </w:rPr>
              <w:t>生活垃圾：由环卫部门统一清运。</w:t>
            </w:r>
          </w:p>
        </w:tc>
        <w:tc>
          <w:tcPr>
            <w:tcW w:w="88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jc w:val="center"/>
        </w:trPr>
        <w:tc>
          <w:tcPr>
            <w:tcW w:w="585" w:type="dxa"/>
            <w:vAlign w:val="center"/>
          </w:tcPr>
          <w:p>
            <w:pPr>
              <w:pStyle w:val="3"/>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6</w:t>
            </w:r>
          </w:p>
        </w:tc>
        <w:tc>
          <w:tcPr>
            <w:tcW w:w="34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加强项目的日常管理和安全防范，按照有关部门规定要求做好相关工作，健全各项环保规章制度和岗位责任制，设置专职的环保管理人员；制定和完善突发环境事件应急预案，在投入生产之前报环保部门备案;做好各类生产设备和环保设施的运行管理和日常检修维护；确保环保设施稳定正常运行和污染物的稳定达标排放，有效防范因环境污染事故引发的环境风险，确保周边环境安全。</w:t>
            </w:r>
          </w:p>
        </w:tc>
        <w:tc>
          <w:tcPr>
            <w:tcW w:w="38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项目已建立完善的环保管理制度，落实专人负责，明确工作职能，确保各项环保措施落实到位，确保各项环保措施落实到位和污染物长期稳定达标排放，</w:t>
            </w:r>
            <w:r>
              <w:rPr>
                <w:rFonts w:hint="eastAsia"/>
                <w:sz w:val="21"/>
                <w:szCs w:val="21"/>
                <w:lang w:eastAsia="zh-CN"/>
              </w:rPr>
              <w:t>项目应急预案已在环保部门备案，备案号为</w:t>
            </w:r>
            <w:r>
              <w:rPr>
                <w:rFonts w:hint="eastAsia"/>
                <w:sz w:val="21"/>
                <w:szCs w:val="21"/>
                <w:lang w:val="en-US" w:eastAsia="zh-CN"/>
              </w:rPr>
              <w:t>330784-2017-024-1。</w:t>
            </w:r>
          </w:p>
        </w:tc>
        <w:tc>
          <w:tcPr>
            <w:tcW w:w="88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jc w:val="center"/>
        </w:trPr>
        <w:tc>
          <w:tcPr>
            <w:tcW w:w="585" w:type="dxa"/>
            <w:vAlign w:val="center"/>
          </w:tcPr>
          <w:p>
            <w:pPr>
              <w:pStyle w:val="3"/>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7</w:t>
            </w:r>
          </w:p>
        </w:tc>
        <w:tc>
          <w:tcPr>
            <w:tcW w:w="34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rFonts w:hint="eastAsia" w:ascii="宋体" w:hAnsi="宋体" w:cs="宋体"/>
                <w:sz w:val="21"/>
                <w:szCs w:val="21"/>
              </w:rPr>
              <w:t>严格执行相关防护距离要求。根据本环评报告书计算结果，本项目不需设置大气环境防护距离；其它各类防护距离要求你公司按照国家卫生、安全等相关主管部门的有关规定予以落实。</w:t>
            </w:r>
          </w:p>
        </w:tc>
        <w:tc>
          <w:tcPr>
            <w:tcW w:w="38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sz w:val="21"/>
                <w:szCs w:val="21"/>
              </w:rPr>
            </w:pPr>
            <w:r>
              <w:rPr>
                <w:sz w:val="21"/>
                <w:szCs w:val="21"/>
              </w:rPr>
              <w:t>项目各类防护距离已按照要求设置。</w:t>
            </w:r>
          </w:p>
        </w:tc>
        <w:tc>
          <w:tcPr>
            <w:tcW w:w="88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jc w:val="center"/>
        </w:trPr>
        <w:tc>
          <w:tcPr>
            <w:tcW w:w="585" w:type="dxa"/>
            <w:vAlign w:val="center"/>
          </w:tcPr>
          <w:p>
            <w:pPr>
              <w:pStyle w:val="3"/>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sz w:val="21"/>
                <w:szCs w:val="21"/>
              </w:rPr>
            </w:pPr>
            <w:r>
              <w:rPr>
                <w:sz w:val="21"/>
                <w:szCs w:val="21"/>
              </w:rPr>
              <w:t>8</w:t>
            </w:r>
          </w:p>
        </w:tc>
        <w:tc>
          <w:tcPr>
            <w:tcW w:w="34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color w:val="auto"/>
                <w:sz w:val="21"/>
                <w:szCs w:val="21"/>
              </w:rPr>
            </w:pPr>
            <w:r>
              <w:rPr>
                <w:color w:val="auto"/>
                <w:sz w:val="21"/>
                <w:szCs w:val="21"/>
              </w:rPr>
              <w:t>严格落实污染物排放总量控制措施。建成后本项目主要污染物排放总量控制指标为：CODcr0.532吨/年、氨氮0.053吨/年，二氧化硫0.011吨/年，氮氧化物0.112吨/年</w:t>
            </w:r>
          </w:p>
        </w:tc>
        <w:tc>
          <w:tcPr>
            <w:tcW w:w="3850"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textAlignment w:val="auto"/>
              <w:outlineLvl w:val="9"/>
              <w:rPr>
                <w:color w:val="auto"/>
                <w:sz w:val="21"/>
                <w:szCs w:val="21"/>
              </w:rPr>
            </w:pPr>
            <w:r>
              <w:rPr>
                <w:color w:val="auto"/>
                <w:sz w:val="21"/>
                <w:szCs w:val="21"/>
              </w:rPr>
              <w:t>根据监测结果核算，项目</w:t>
            </w:r>
            <w:r>
              <w:rPr>
                <w:color w:val="auto"/>
                <w:kern w:val="0"/>
                <w:sz w:val="21"/>
                <w:szCs w:val="21"/>
                <w:lang w:bidi="ar"/>
              </w:rPr>
              <w:t>污染物排放总量为：</w:t>
            </w:r>
            <w:r>
              <w:rPr>
                <w:color w:val="auto"/>
                <w:sz w:val="21"/>
                <w:szCs w:val="21"/>
              </w:rPr>
              <w:t>COD</w:t>
            </w:r>
            <w:r>
              <w:rPr>
                <w:color w:val="auto"/>
                <w:sz w:val="21"/>
                <w:szCs w:val="21"/>
                <w:vertAlign w:val="subscript"/>
              </w:rPr>
              <w:t>C</w:t>
            </w:r>
            <w:r>
              <w:rPr>
                <w:rFonts w:hint="eastAsia"/>
                <w:color w:val="auto"/>
                <w:sz w:val="21"/>
                <w:szCs w:val="21"/>
              </w:rPr>
              <w:t>0.143</w:t>
            </w:r>
            <w:r>
              <w:rPr>
                <w:color w:val="auto"/>
                <w:sz w:val="21"/>
                <w:szCs w:val="21"/>
              </w:rPr>
              <w:t>t/a、氨氮0.0</w:t>
            </w:r>
            <w:r>
              <w:rPr>
                <w:rFonts w:hint="eastAsia"/>
                <w:color w:val="auto"/>
                <w:sz w:val="21"/>
                <w:szCs w:val="21"/>
              </w:rPr>
              <w:t>0</w:t>
            </w:r>
            <w:r>
              <w:rPr>
                <w:color w:val="auto"/>
                <w:sz w:val="21"/>
                <w:szCs w:val="21"/>
              </w:rPr>
              <w:t>6</w:t>
            </w:r>
            <w:r>
              <w:rPr>
                <w:rFonts w:hint="eastAsia"/>
                <w:color w:val="auto"/>
                <w:sz w:val="21"/>
                <w:szCs w:val="21"/>
              </w:rPr>
              <w:t>9</w:t>
            </w:r>
            <w:r>
              <w:rPr>
                <w:color w:val="auto"/>
                <w:sz w:val="21"/>
                <w:szCs w:val="21"/>
              </w:rPr>
              <w:t>t/a、氮氧化物</w:t>
            </w:r>
            <w:r>
              <w:rPr>
                <w:rFonts w:hint="eastAsia"/>
                <w:color w:val="auto"/>
                <w:sz w:val="21"/>
                <w:szCs w:val="21"/>
                <w:lang w:val="en-US" w:eastAsia="zh-CN"/>
              </w:rPr>
              <w:t>0.11</w:t>
            </w:r>
            <w:r>
              <w:rPr>
                <w:color w:val="auto"/>
                <w:sz w:val="21"/>
                <w:szCs w:val="21"/>
              </w:rPr>
              <w:t>t/a</w:t>
            </w:r>
            <w:r>
              <w:rPr>
                <w:rFonts w:hint="eastAsia"/>
                <w:color w:val="auto"/>
                <w:sz w:val="21"/>
                <w:szCs w:val="21"/>
                <w:lang w:eastAsia="zh-CN"/>
              </w:rPr>
              <w:t>，二氧化硫未检出，无法核算总量</w:t>
            </w:r>
            <w:r>
              <w:rPr>
                <w:color w:val="auto"/>
                <w:sz w:val="21"/>
                <w:szCs w:val="21"/>
              </w:rPr>
              <w:t>。</w:t>
            </w:r>
          </w:p>
        </w:tc>
        <w:tc>
          <w:tcPr>
            <w:tcW w:w="883"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eastAsia" w:eastAsia="宋体"/>
                <w:color w:val="auto"/>
                <w:sz w:val="21"/>
                <w:szCs w:val="21"/>
                <w:lang w:eastAsia="zh-CN"/>
              </w:rPr>
            </w:pPr>
            <w:r>
              <w:rPr>
                <w:rFonts w:hint="eastAsia"/>
                <w:color w:val="auto"/>
                <w:sz w:val="21"/>
                <w:szCs w:val="21"/>
                <w:lang w:eastAsia="zh-CN"/>
              </w:rPr>
              <w:t>满足</w:t>
            </w:r>
          </w:p>
        </w:tc>
      </w:tr>
    </w:tbl>
    <w:p>
      <w:pPr>
        <w:spacing w:line="360" w:lineRule="auto"/>
        <w:rPr>
          <w:b/>
          <w:sz w:val="24"/>
        </w:rPr>
      </w:pPr>
      <w:r>
        <w:rPr>
          <w:rFonts w:hint="eastAsia"/>
          <w:b/>
          <w:sz w:val="24"/>
        </w:rPr>
        <w:t>五、生态恢复、绿化及固体废弃物综合利用情况</w:t>
      </w:r>
    </w:p>
    <w:p>
      <w:pPr>
        <w:spacing w:line="360" w:lineRule="auto"/>
        <w:ind w:firstLine="480" w:firstLineChars="200"/>
        <w:rPr>
          <w:sz w:val="24"/>
        </w:rPr>
      </w:pPr>
      <w:r>
        <w:rPr>
          <w:rFonts w:hint="eastAsia"/>
          <w:sz w:val="24"/>
        </w:rPr>
        <w:t>本项目生态恢复良好，绿化情况良好。</w:t>
      </w:r>
    </w:p>
    <w:p>
      <w:pPr>
        <w:spacing w:line="360" w:lineRule="auto"/>
        <w:ind w:firstLine="480" w:firstLineChars="200"/>
        <w:rPr>
          <w:rFonts w:hint="eastAsia"/>
          <w:sz w:val="24"/>
        </w:rPr>
      </w:pPr>
      <w:r>
        <w:rPr>
          <w:rFonts w:hint="eastAsia"/>
          <w:sz w:val="24"/>
        </w:rPr>
        <w:t>生产固废：</w:t>
      </w:r>
      <w:r>
        <w:rPr>
          <w:rFonts w:hint="eastAsia"/>
          <w:sz w:val="24"/>
          <w:lang w:eastAsia="zh-CN"/>
        </w:rPr>
        <w:t>废水处理污泥、</w:t>
      </w:r>
      <w:r>
        <w:rPr>
          <w:rFonts w:hint="eastAsia"/>
          <w:sz w:val="24"/>
        </w:rPr>
        <w:t>漆渣、废活性炭、废乳化液、废包装桶等危险废物委托有资质的单位处置；金属边角料、水喷淋除尘污泥外卖给金属回收企业回收利用；废包装材料分类收集后出售给相关单位综合利用。</w:t>
      </w:r>
    </w:p>
    <w:p>
      <w:pPr>
        <w:spacing w:line="360" w:lineRule="auto"/>
        <w:ind w:firstLine="480" w:firstLineChars="200"/>
        <w:rPr>
          <w:sz w:val="24"/>
        </w:rPr>
      </w:pPr>
      <w:r>
        <w:rPr>
          <w:rFonts w:hint="eastAsia"/>
          <w:sz w:val="24"/>
        </w:rPr>
        <w:t>生活垃圾：由环卫部门统一清运。</w:t>
      </w:r>
    </w:p>
    <w:p>
      <w:pPr>
        <w:spacing w:line="360" w:lineRule="auto"/>
        <w:rPr>
          <w:b/>
          <w:sz w:val="24"/>
        </w:rPr>
      </w:pPr>
      <w:r>
        <w:rPr>
          <w:rFonts w:hint="eastAsia"/>
          <w:b/>
          <w:sz w:val="24"/>
        </w:rPr>
        <w:t>六、项目环保管理情况</w:t>
      </w:r>
    </w:p>
    <w:p>
      <w:pPr>
        <w:pStyle w:val="3"/>
        <w:spacing w:after="0" w:line="360" w:lineRule="auto"/>
        <w:ind w:firstLine="480" w:firstLineChars="200"/>
      </w:pPr>
      <w:r>
        <w:rPr>
          <w:rFonts w:hint="eastAsia"/>
        </w:rPr>
        <w:t>本项目有专人负责环保管理及制定了环保规章制度，</w:t>
      </w:r>
      <w:r>
        <w:t>确保环保设施的正常运行</w:t>
      </w:r>
      <w:r>
        <w:rPr>
          <w:rFonts w:hint="eastAsia"/>
        </w:rPr>
        <w:t>，污染物排放稳定达</w:t>
      </w:r>
      <w:r>
        <w:t>。</w:t>
      </w:r>
    </w:p>
    <w:p>
      <w:pPr>
        <w:spacing w:line="360" w:lineRule="auto"/>
        <w:rPr>
          <w:b/>
          <w:sz w:val="24"/>
        </w:rPr>
      </w:pPr>
      <w:r>
        <w:rPr>
          <w:rFonts w:hint="eastAsia"/>
          <w:b/>
          <w:sz w:val="24"/>
        </w:rPr>
        <w:t>七、问题及计划</w:t>
      </w:r>
    </w:p>
    <w:p>
      <w:pPr>
        <w:pStyle w:val="3"/>
        <w:spacing w:after="0" w:line="360" w:lineRule="auto"/>
        <w:ind w:firstLine="480" w:firstLineChars="200"/>
      </w:pPr>
      <w:r>
        <w:rPr>
          <w:rFonts w:hint="eastAsia"/>
        </w:rPr>
        <w:t>我公司按照国家环保法律法规及规范进行建设，落实环评及批复要求，能有效的执行环保主管部门提出的建议。本项目环保处理设施运行稳定，公司仍需加强与环保主管部门的交流，构筑良好的生产环境。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07025"/>
    <w:multiLevelType w:val="singleLevel"/>
    <w:tmpl w:val="58F07025"/>
    <w:lvl w:ilvl="0" w:tentative="0">
      <w:start w:val="1"/>
      <w:numFmt w:val="decimal"/>
      <w:suff w:val="nothing"/>
      <w:lvlText w:val="（%1）"/>
      <w:lvlJc w:val="left"/>
    </w:lvl>
  </w:abstractNum>
  <w:abstractNum w:abstractNumId="1">
    <w:nsid w:val="58F0705F"/>
    <w:multiLevelType w:val="singleLevel"/>
    <w:tmpl w:val="58F0705F"/>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4E"/>
    <w:rsid w:val="000400AD"/>
    <w:rsid w:val="00305C81"/>
    <w:rsid w:val="00453AB9"/>
    <w:rsid w:val="005646F3"/>
    <w:rsid w:val="006D5D41"/>
    <w:rsid w:val="006F520E"/>
    <w:rsid w:val="007261C7"/>
    <w:rsid w:val="007A4CCD"/>
    <w:rsid w:val="007D0588"/>
    <w:rsid w:val="007F51F4"/>
    <w:rsid w:val="008C1FA2"/>
    <w:rsid w:val="00936F31"/>
    <w:rsid w:val="00A1296B"/>
    <w:rsid w:val="00A31B4E"/>
    <w:rsid w:val="00B569F0"/>
    <w:rsid w:val="00D70D72"/>
    <w:rsid w:val="00E72C3B"/>
    <w:rsid w:val="00F83E9F"/>
    <w:rsid w:val="00FE598D"/>
    <w:rsid w:val="0BBD00EA"/>
    <w:rsid w:val="3D290A45"/>
    <w:rsid w:val="4A382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0"/>
    <w:pPr>
      <w:keepNext/>
      <w:keepLines/>
      <w:spacing w:line="360" w:lineRule="auto"/>
      <w:outlineLvl w:val="1"/>
    </w:pPr>
    <w:rPr>
      <w:rFonts w:ascii="Arial" w:hAnsi="Arial"/>
      <w:b/>
      <w:bCs/>
      <w:sz w:val="28"/>
      <w:szCs w:val="32"/>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5"/>
    <w:uiPriority w:val="0"/>
    <w:pPr>
      <w:spacing w:after="120"/>
    </w:pPr>
    <w:rPr>
      <w:sz w:val="24"/>
    </w:rPr>
  </w:style>
  <w:style w:type="paragraph" w:styleId="4">
    <w:name w:val="Body Text Indent"/>
    <w:basedOn w:val="1"/>
    <w:link w:val="18"/>
    <w:semiHidden/>
    <w:unhideWhenUsed/>
    <w:qFormat/>
    <w:uiPriority w:val="99"/>
    <w:pPr>
      <w:spacing w:after="120"/>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2"/>
    <w:basedOn w:val="1"/>
    <w:link w:val="19"/>
    <w:qFormat/>
    <w:uiPriority w:val="0"/>
    <w:pPr>
      <w:spacing w:after="120" w:line="480" w:lineRule="auto"/>
    </w:p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character" w:customStyle="1" w:styleId="14">
    <w:name w:val="标题 2 Char"/>
    <w:basedOn w:val="9"/>
    <w:link w:val="2"/>
    <w:qFormat/>
    <w:uiPriority w:val="0"/>
    <w:rPr>
      <w:rFonts w:ascii="Arial" w:hAnsi="Arial" w:eastAsia="宋体" w:cs="Times New Roman"/>
      <w:b/>
      <w:bCs/>
      <w:sz w:val="28"/>
      <w:szCs w:val="32"/>
    </w:rPr>
  </w:style>
  <w:style w:type="character" w:customStyle="1" w:styleId="15">
    <w:name w:val="正文文本 Char"/>
    <w:basedOn w:val="9"/>
    <w:link w:val="3"/>
    <w:qFormat/>
    <w:uiPriority w:val="0"/>
    <w:rPr>
      <w:rFonts w:ascii="Times New Roman" w:hAnsi="Times New Roman" w:eastAsia="宋体" w:cs="Times New Roman"/>
      <w:sz w:val="24"/>
      <w:szCs w:val="24"/>
    </w:rPr>
  </w:style>
  <w:style w:type="paragraph" w:customStyle="1" w:styleId="16">
    <w:name w:val="封面标题"/>
    <w:qFormat/>
    <w:uiPriority w:val="0"/>
    <w:pPr>
      <w:spacing w:before="156" w:beforeLines="50" w:after="156" w:afterLines="50" w:line="560" w:lineRule="exact"/>
      <w:jc w:val="center"/>
    </w:pPr>
    <w:rPr>
      <w:rFonts w:ascii="Times New Roman" w:hAnsi="Times New Roman" w:eastAsia="仿宋_GB2312" w:cs="Times New Roman"/>
      <w:b/>
      <w:kern w:val="0"/>
      <w:sz w:val="52"/>
      <w:szCs w:val="20"/>
      <w:lang w:val="en-US" w:eastAsia="zh-CN" w:bidi="ar-SA"/>
    </w:rPr>
  </w:style>
  <w:style w:type="character" w:customStyle="1" w:styleId="17">
    <w:name w:val="批注框文本 Char"/>
    <w:basedOn w:val="9"/>
    <w:link w:val="5"/>
    <w:semiHidden/>
    <w:qFormat/>
    <w:uiPriority w:val="99"/>
    <w:rPr>
      <w:rFonts w:ascii="Times New Roman" w:hAnsi="Times New Roman" w:eastAsia="宋体" w:cs="Times New Roman"/>
      <w:sz w:val="18"/>
      <w:szCs w:val="18"/>
    </w:rPr>
  </w:style>
  <w:style w:type="character" w:customStyle="1" w:styleId="18">
    <w:name w:val="正文文本缩进 Char"/>
    <w:basedOn w:val="9"/>
    <w:link w:val="4"/>
    <w:semiHidden/>
    <w:qFormat/>
    <w:uiPriority w:val="99"/>
    <w:rPr>
      <w:rFonts w:ascii="Times New Roman" w:hAnsi="Times New Roman" w:eastAsia="宋体" w:cs="Times New Roman"/>
      <w:szCs w:val="24"/>
    </w:rPr>
  </w:style>
  <w:style w:type="character" w:customStyle="1" w:styleId="19">
    <w:name w:val="正文文本 2 Char"/>
    <w:basedOn w:val="9"/>
    <w:link w:val="8"/>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562</Words>
  <Characters>3204</Characters>
  <Lines>26</Lines>
  <Paragraphs>7</Paragraphs>
  <ScaleCrop>false</ScaleCrop>
  <LinksUpToDate>false</LinksUpToDate>
  <CharactersWithSpaces>3759</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2017-03-20T03:30:00Z</dcterms:created>
  <dc:creator>微软用户</dc:creator>
  <cp:lastModifiedBy>492482587</cp:lastModifiedBy>
  <dcterms:modified xsi:type="dcterms:W3CDTF">2018-01-24T02:14:34Z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